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b/>
          <w:bCs/>
          <w:sz w:val="28"/>
          <w:szCs w:val="28"/>
          <w:lang w:val="en-US"/>
        </w:rPr>
        <w:t>62/150. Strengthening the role of the United Nations in enhancing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effectiveness of the principle of periodic and genuine</w:t>
      </w:r>
    </w:p>
    <w:p w:rsid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b/>
          <w:bCs/>
          <w:sz w:val="28"/>
          <w:szCs w:val="28"/>
          <w:lang w:val="en-US"/>
        </w:rPr>
        <w:t>elections and the promotion of democratization</w:t>
      </w:r>
    </w:p>
    <w:p w:rsid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b/>
          <w:bCs/>
          <w:sz w:val="28"/>
          <w:szCs w:val="28"/>
          <w:lang w:val="en-US"/>
        </w:rPr>
        <w:t>Resolution adopted by the General Assembly on 18 December 2007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General Assembly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Recalling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its previous resolutions on the subject, in particular resolution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60/162 of 16 December 2005,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Reaffirming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that United Nations electoral assistance and support for the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promotion of democratization are provided only at the specific request of the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Member State concerned,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Noting with satisfaction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that increasing numbers of Member States are using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elections as a peaceful means of discerning the will of the people, which builds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confidence in representational governance and contributes to greater national peace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and stability,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Recalling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Universal Declaration of Human Rights, adopted on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10 December 1948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, in particular the principle that the will of the people, as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expressed through periodic and genuine elections, shall be the basis of government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authority, as well as the right freely to choose representatives through periodic and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genuine elections, which shall be by universal and equal suffrage and shall be held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by secret vote or by equivalent free voting procedures,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Taking note with interest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of Commission on Human Rights resolution 2004/30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of 19 April 2004 on enhancing the role of regional, </w:t>
      </w:r>
      <w:proofErr w:type="spellStart"/>
      <w:r w:rsidRPr="00665809">
        <w:rPr>
          <w:rFonts w:ascii="Times New Roman" w:hAnsi="Times New Roman" w:cs="Times New Roman"/>
          <w:sz w:val="28"/>
          <w:szCs w:val="28"/>
          <w:lang w:val="en-US"/>
        </w:rPr>
        <w:t>subregional</w:t>
      </w:r>
      <w:proofErr w:type="spellEnd"/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and other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organizations and arrangements in promoting and consolidating democracy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Commission resolution 2005/32 of 19 April 2005 on democracy and the rule of law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Recognizing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need for strengthening democratic processes, electoral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institutions and national capacity-building, including the capacity to administer fair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elections, promote women’s participation, increase citizen participation and provide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civic education, in requesting countries in order to consolidate and regularize the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achievements of previous elections and support subsequent elections,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Welcoming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support provided by States to the electoral assistance activities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of the United Nations, inter alia, through the provision of electoral experts,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including electoral commission staff, and observers, as well as through contributions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to the United Nations Trust Fund for Electoral Assistance, the Democratic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Governance Thematic Trust Fund and the United Nations Democracy Fund,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Welcoming also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contributions made by international and regional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organizations and also by non-governmental organizations to enhancing the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effectiveness of the principle of periodic and genuine elections and the promotion of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democratization,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Having considered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report of the Secretary-General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footnoteReference w:id="4"/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Welcomes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report of the Secretary-General;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Commends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electoral assistance provided upon request to Member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States by the United Nations, and requests that such assistance continue on a </w:t>
      </w:r>
      <w:proofErr w:type="spellStart"/>
      <w:r w:rsidRPr="00665809">
        <w:rPr>
          <w:rFonts w:ascii="Times New Roman" w:hAnsi="Times New Roman" w:cs="Times New Roman"/>
          <w:sz w:val="28"/>
          <w:szCs w:val="28"/>
          <w:lang w:val="en-US"/>
        </w:rPr>
        <w:t>caseby</w:t>
      </w:r>
      <w:proofErr w:type="spellEnd"/>
      <w:r w:rsidRPr="00665809">
        <w:rPr>
          <w:rFonts w:ascii="Times New Roman" w:hAnsi="Times New Roman" w:cs="Times New Roman"/>
          <w:sz w:val="28"/>
          <w:szCs w:val="28"/>
          <w:lang w:val="en-US"/>
        </w:rPr>
        <w:t>-case basis in accordance with the evolving needs of requesting countries to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develop, improve and refine their electoral institutions and processes, recognizing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that the fundamental responsibility for organizing free and fair elections lies with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Governments;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Under-Secretary-General for Political Affairs, in his role as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United Nations focal point for electoral assistance matters, to continue to inform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Member States regularly about the requests received and the nature of any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assistance provided;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that the United Nations continue its efforts to ensure, before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undertaking to provide electoral assistance to a requesting State, that there is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adequate time to organize and carry out an effective mission for providing such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assistance, including the provision of long-term technical cooperation, that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conditions exist to allow a free and fair election and that the results of the mission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will be reported comprehensively and consistently;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Recommends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that, throughout the time span of the entire electoral cycle,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including before and after elections, as appropriate, based on a needs assessment,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United Nations continue to provide technical advice and other assistance to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requesting States and electoral institutions in order to help to strengthen their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democratic processes;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Notes with appreciation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additional efforts being made to enhance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cooperation with other international, governmental and non-governmental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organizations in order to facilitate more comprehensive and needs-specific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responses to requests for electoral assistance, encourages those organizations to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share knowledge and experience in order to promote best practices in the assistance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they provide and in their reporting on electoral processes, and expresses its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appreciation to those Member States, regional organizations and non-governmental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organizations that have provided observers or technical experts in support of United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Nations electoral assistance efforts;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Recalls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establishment by the Secretary-General of the United Nations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Trust Fund for Electoral Assistance, and, bearing in mind that the Fund is currently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close to depletion, calls upon Member States to consider contributing to the Fund;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Encourages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Secretary-General, through the United Nations focal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point for electoral assistance matters and with the support of the Electoral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Assistance Division of the Department of Political Affairs of the Secretariat, to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continue responding to the evolving nature of requests for assistance and the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growing need for specific types of medium-term expert assistance aimed at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supporting and strengthening the existing capacity of the requesting Government, in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particular by enhancing the capacity of national electoral institutions;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Secretary-General to provide the Electoral Assistance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Division with adequate human and financial resources to allow it to carry out its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mandate, including to enhance the accessibility and diversity of the roster of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electoral experts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lastRenderedPageBreak/>
        <w:t>and the Organization’s electoral institutional memory, and to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continue to ensure that the Office of the United Nations High Commissioner for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Human Rights is able to respond, within its mandate and in close coordination with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Division, to the numerous and increasingly complex and comprehensive requests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from Member States for advisory services;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Notes with satisfaction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comprehensive coordination, under the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auspices of the United Nations focal point for electoral assistance matters, between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the Electoral Assistance Division and the United Nations Development </w:t>
      </w:r>
      <w:proofErr w:type="spellStart"/>
      <w:r w:rsidRPr="00665809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and the Department of Peacekeeping Operations and the Department of Field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Support of the Secretariat, and encourages further engagement of the Office of the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High Commissioner in this context;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the United Nations Development </w:t>
      </w:r>
      <w:proofErr w:type="spellStart"/>
      <w:r w:rsidRPr="00665809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to continue its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democratic governance assistance </w:t>
      </w:r>
      <w:proofErr w:type="spellStart"/>
      <w:r w:rsidRPr="00665809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in cooperation with other relevant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organizations, in particular those that strengthen democratic institutions and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linkages between civil society and Governments;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Reiterates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importance of reinforced coordination within and outside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United Nations system, and reaffirms the role of the United Nations focal point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for electoral assistance in ensuring system-wide coherence and consistency and in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strengthening the institutional memory and the development and dissemination of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electoral policies;</w:t>
      </w:r>
    </w:p>
    <w:p w:rsid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Requests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Secretary-General to report to the General Assembly at its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sixty-fourth session on the implementation of the present resolution, in particular on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the status of requests from Member States for electoral assistance, and on his efforts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to enhance support by the Organization for the democratization process in Member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8"/>
          <w:szCs w:val="28"/>
          <w:lang w:val="en-US"/>
        </w:rPr>
        <w:t>States.</w:t>
      </w: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0" w:name="_GoBack"/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>76th plenary meeting</w:t>
      </w:r>
    </w:p>
    <w:p w:rsidR="00665809" w:rsidRPr="00665809" w:rsidRDefault="00665809" w:rsidP="00665809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65809">
        <w:rPr>
          <w:rFonts w:ascii="Times New Roman" w:hAnsi="Times New Roman" w:cs="Times New Roman"/>
          <w:i/>
          <w:iCs/>
          <w:sz w:val="28"/>
          <w:szCs w:val="28"/>
          <w:lang w:val="en-US"/>
        </w:rPr>
        <w:t>18 December 2007</w:t>
      </w:r>
      <w:bookmarkEnd w:id="0"/>
    </w:p>
    <w:sectPr w:rsidR="00665809" w:rsidRPr="0066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C8" w:rsidRDefault="00E10CC8" w:rsidP="00665809">
      <w:pPr>
        <w:spacing w:after="0" w:line="240" w:lineRule="auto"/>
      </w:pPr>
      <w:r>
        <w:separator/>
      </w:r>
    </w:p>
  </w:endnote>
  <w:endnote w:type="continuationSeparator" w:id="0">
    <w:p w:rsidR="00E10CC8" w:rsidRDefault="00E10CC8" w:rsidP="0066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C8" w:rsidRDefault="00E10CC8" w:rsidP="00665809">
      <w:pPr>
        <w:spacing w:after="0" w:line="240" w:lineRule="auto"/>
      </w:pPr>
      <w:r>
        <w:separator/>
      </w:r>
    </w:p>
  </w:footnote>
  <w:footnote w:type="continuationSeparator" w:id="0">
    <w:p w:rsidR="00E10CC8" w:rsidRDefault="00E10CC8" w:rsidP="00665809">
      <w:pPr>
        <w:spacing w:after="0" w:line="240" w:lineRule="auto"/>
      </w:pPr>
      <w:r>
        <w:continuationSeparator/>
      </w:r>
    </w:p>
  </w:footnote>
  <w:footnote w:id="1">
    <w:p w:rsidR="00665809" w:rsidRPr="00665809" w:rsidRDefault="00665809" w:rsidP="00665809">
      <w:pPr>
        <w:pStyle w:val="a3"/>
        <w:jc w:val="both"/>
        <w:rPr>
          <w:rFonts w:ascii="Times New Roman" w:hAnsi="Times New Roman" w:cs="Times New Roman"/>
        </w:rPr>
      </w:pPr>
      <w:r w:rsidRPr="00665809">
        <w:rPr>
          <w:rStyle w:val="a5"/>
          <w:rFonts w:ascii="Times New Roman" w:hAnsi="Times New Roman" w:cs="Times New Roman"/>
        </w:rPr>
        <w:footnoteRef/>
      </w:r>
      <w:r w:rsidRPr="00665809">
        <w:rPr>
          <w:rFonts w:ascii="Times New Roman" w:hAnsi="Times New Roman" w:cs="Times New Roman"/>
        </w:rPr>
        <w:t xml:space="preserve"> </w:t>
      </w:r>
      <w:r w:rsidRPr="00665809">
        <w:rPr>
          <w:rFonts w:ascii="Times New Roman" w:hAnsi="Times New Roman" w:cs="Times New Roman"/>
          <w:lang w:val="en-US"/>
        </w:rPr>
        <w:t>Resolution 217 A (III).</w:t>
      </w:r>
    </w:p>
  </w:footnote>
  <w:footnote w:id="2">
    <w:p w:rsidR="00665809" w:rsidRPr="00665809" w:rsidRDefault="00665809" w:rsidP="00665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65809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6658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65809">
        <w:rPr>
          <w:rFonts w:ascii="Times New Roman" w:hAnsi="Times New Roman" w:cs="Times New Roman"/>
          <w:sz w:val="20"/>
          <w:szCs w:val="20"/>
          <w:lang w:val="en-US"/>
        </w:rPr>
        <w:t xml:space="preserve">See </w:t>
      </w:r>
      <w:r w:rsidRPr="0066580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Official Records of the Economic and Social Council, 2004, Supplement No. 3 </w:t>
      </w:r>
      <w:r w:rsidRPr="00665809">
        <w:rPr>
          <w:rFonts w:ascii="Times New Roman" w:hAnsi="Times New Roman" w:cs="Times New Roman"/>
          <w:sz w:val="20"/>
          <w:szCs w:val="20"/>
          <w:lang w:val="en-US"/>
        </w:rPr>
        <w:t>(E/2004/23), chap. II,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65809">
        <w:rPr>
          <w:rFonts w:ascii="Times New Roman" w:hAnsi="Times New Roman" w:cs="Times New Roman"/>
          <w:sz w:val="20"/>
          <w:szCs w:val="20"/>
          <w:lang w:val="en-US"/>
        </w:rPr>
        <w:t>sect. A.</w:t>
      </w:r>
    </w:p>
  </w:footnote>
  <w:footnote w:id="3">
    <w:p w:rsidR="00665809" w:rsidRPr="00665809" w:rsidRDefault="00665809" w:rsidP="00665809">
      <w:pPr>
        <w:pStyle w:val="a3"/>
        <w:jc w:val="both"/>
        <w:rPr>
          <w:lang w:val="en-US"/>
        </w:rPr>
      </w:pPr>
      <w:r w:rsidRPr="00665809">
        <w:rPr>
          <w:rStyle w:val="a5"/>
          <w:rFonts w:ascii="Times New Roman" w:hAnsi="Times New Roman" w:cs="Times New Roman"/>
        </w:rPr>
        <w:footnoteRef/>
      </w:r>
      <w:r w:rsidRPr="00665809">
        <w:rPr>
          <w:rFonts w:ascii="Times New Roman" w:hAnsi="Times New Roman" w:cs="Times New Roman"/>
          <w:lang w:val="en-US"/>
        </w:rPr>
        <w:t xml:space="preserve"> </w:t>
      </w:r>
      <w:r w:rsidRPr="00665809">
        <w:rPr>
          <w:rFonts w:ascii="Times New Roman" w:hAnsi="Times New Roman" w:cs="Times New Roman"/>
          <w:lang w:val="en-US"/>
        </w:rPr>
        <w:t xml:space="preserve">Ibid., </w:t>
      </w:r>
      <w:r w:rsidRPr="00665809">
        <w:rPr>
          <w:rFonts w:ascii="Times New Roman" w:hAnsi="Times New Roman" w:cs="Times New Roman"/>
          <w:i/>
          <w:iCs/>
          <w:lang w:val="en-US"/>
        </w:rPr>
        <w:t xml:space="preserve">2005, Supplement No. 3 </w:t>
      </w:r>
      <w:r w:rsidRPr="00665809">
        <w:rPr>
          <w:rFonts w:ascii="Times New Roman" w:hAnsi="Times New Roman" w:cs="Times New Roman"/>
          <w:lang w:val="en-US"/>
        </w:rPr>
        <w:t>and corrigenda (E/2005/23 and Corr.1 and 2), chap. II, sect. A.</w:t>
      </w:r>
    </w:p>
  </w:footnote>
  <w:footnote w:id="4">
    <w:p w:rsidR="00665809" w:rsidRDefault="00665809">
      <w:pPr>
        <w:pStyle w:val="a3"/>
      </w:pPr>
      <w:r>
        <w:rPr>
          <w:rStyle w:val="a5"/>
        </w:rPr>
        <w:footnoteRef/>
      </w:r>
      <w:r>
        <w:t xml:space="preserve"> </w:t>
      </w:r>
      <w:r w:rsidRPr="00665809">
        <w:rPr>
          <w:rFonts w:ascii="Times New Roman" w:hAnsi="Times New Roman" w:cs="Times New Roman"/>
        </w:rPr>
        <w:t>A/62/293.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09"/>
    <w:rsid w:val="001E5069"/>
    <w:rsid w:val="00665809"/>
    <w:rsid w:val="00E1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F1A0"/>
  <w15:chartTrackingRefBased/>
  <w15:docId w15:val="{1344BCE2-4B03-4D01-B98E-8C4C9FF8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58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580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5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D0C3-10A8-4653-96B9-C37B9C42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2019-10-16T11:24:00Z</dcterms:created>
  <dcterms:modified xsi:type="dcterms:W3CDTF">2019-10-16T11:31:00Z</dcterms:modified>
</cp:coreProperties>
</file>